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268"/>
        <w:gridCol w:w="2287"/>
        <w:gridCol w:w="3688"/>
        <w:gridCol w:w="2168"/>
        <w:gridCol w:w="1637"/>
        <w:gridCol w:w="2077"/>
      </w:tblGrid>
      <w:tr w:rsidR="009C14BD" w:rsidRPr="009C14BD" w:rsidTr="00616E29">
        <w:tc>
          <w:tcPr>
            <w:tcW w:w="2268" w:type="dxa"/>
          </w:tcPr>
          <w:p w:rsidR="003F0F83" w:rsidRPr="009C14BD" w:rsidRDefault="003F0F83" w:rsidP="009C14B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C14BD">
              <w:rPr>
                <w:rFonts w:ascii="Times New Roman" w:hAnsi="Times New Roman" w:cs="Times New Roman"/>
                <w:b/>
              </w:rPr>
              <w:t>Stakeholders</w:t>
            </w:r>
          </w:p>
        </w:tc>
        <w:tc>
          <w:tcPr>
            <w:tcW w:w="2287" w:type="dxa"/>
          </w:tcPr>
          <w:p w:rsidR="003F0F83" w:rsidRPr="009C14BD" w:rsidRDefault="003F0F83" w:rsidP="009C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Engagement Means</w:t>
            </w:r>
          </w:p>
        </w:tc>
        <w:tc>
          <w:tcPr>
            <w:tcW w:w="3688" w:type="dxa"/>
          </w:tcPr>
          <w:p w:rsidR="003F0F83" w:rsidRPr="009C14BD" w:rsidRDefault="003F0F83" w:rsidP="009C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Engagement Activities</w:t>
            </w:r>
          </w:p>
        </w:tc>
        <w:tc>
          <w:tcPr>
            <w:tcW w:w="2168" w:type="dxa"/>
          </w:tcPr>
          <w:p w:rsidR="003F0F83" w:rsidRPr="009C14BD" w:rsidRDefault="003F0F83" w:rsidP="009C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Responsible Parties</w:t>
            </w:r>
          </w:p>
        </w:tc>
        <w:tc>
          <w:tcPr>
            <w:tcW w:w="1637" w:type="dxa"/>
          </w:tcPr>
          <w:p w:rsidR="003F0F83" w:rsidRPr="009C14BD" w:rsidRDefault="003F0F83" w:rsidP="009C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Required Resources</w:t>
            </w:r>
          </w:p>
        </w:tc>
        <w:tc>
          <w:tcPr>
            <w:tcW w:w="2077" w:type="dxa"/>
          </w:tcPr>
          <w:p w:rsidR="003F0F83" w:rsidRPr="009C14BD" w:rsidRDefault="003F0F83" w:rsidP="009C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Stakeholder</w:t>
            </w:r>
            <w:r w:rsidR="00616E29" w:rsidRPr="009C14BD">
              <w:rPr>
                <w:rFonts w:ascii="Times New Roman" w:hAnsi="Times New Roman" w:cs="Times New Roman"/>
                <w:b/>
              </w:rPr>
              <w:t xml:space="preserve"> </w:t>
            </w:r>
            <w:r w:rsidRPr="009C14BD">
              <w:rPr>
                <w:rFonts w:ascii="Times New Roman" w:hAnsi="Times New Roman" w:cs="Times New Roman"/>
                <w:b/>
              </w:rPr>
              <w:t>engagement</w:t>
            </w:r>
            <w:r w:rsidR="00616E29" w:rsidRPr="009C14BD">
              <w:rPr>
                <w:rFonts w:ascii="Times New Roman" w:hAnsi="Times New Roman" w:cs="Times New Roman"/>
                <w:b/>
              </w:rPr>
              <w:t xml:space="preserve"> </w:t>
            </w:r>
            <w:r w:rsidRPr="009C14BD">
              <w:rPr>
                <w:rFonts w:ascii="Times New Roman" w:hAnsi="Times New Roman" w:cs="Times New Roman"/>
                <w:b/>
              </w:rPr>
              <w:t>Timeline</w:t>
            </w:r>
          </w:p>
        </w:tc>
      </w:tr>
      <w:tr w:rsidR="003F0F83" w:rsidRPr="009C14BD" w:rsidTr="00616E29">
        <w:tc>
          <w:tcPr>
            <w:tcW w:w="14125" w:type="dxa"/>
            <w:gridSpan w:val="6"/>
          </w:tcPr>
          <w:p w:rsidR="003F0F83" w:rsidRPr="009C14BD" w:rsidRDefault="003F0F83" w:rsidP="009C14BD">
            <w:pPr>
              <w:rPr>
                <w:rFonts w:ascii="Times New Roman" w:eastAsia="Times New Roman" w:hAnsi="Times New Roman" w:cs="Times New Roman"/>
                <w:b/>
              </w:rPr>
            </w:pPr>
            <w:r w:rsidRPr="009C14BD">
              <w:rPr>
                <w:rFonts w:ascii="Times New Roman" w:eastAsia="Times New Roman" w:hAnsi="Times New Roman" w:cs="Times New Roman"/>
                <w:b/>
              </w:rPr>
              <w:t>Government Institutions</w:t>
            </w:r>
          </w:p>
        </w:tc>
      </w:tr>
      <w:tr w:rsidR="009C14BD" w:rsidRPr="009C14BD" w:rsidTr="00616E29">
        <w:tc>
          <w:tcPr>
            <w:tcW w:w="2268" w:type="dxa"/>
          </w:tcPr>
          <w:p w:rsidR="003F0F83" w:rsidRPr="009C14BD" w:rsidRDefault="003F0F83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Ministry of Environment and Tourism</w:t>
            </w:r>
          </w:p>
        </w:tc>
        <w:tc>
          <w:tcPr>
            <w:tcW w:w="2287" w:type="dxa"/>
          </w:tcPr>
          <w:p w:rsidR="003F0F83" w:rsidRPr="009C14BD" w:rsidRDefault="003F0F83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3F0F83" w:rsidRPr="009C14BD" w:rsidRDefault="003F0F83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Project appraisal and validation, project launch and inception, executing functions, project management structures, project decision-making structures, project reporting. Responsible Party for Component 1.</w:t>
            </w:r>
            <w:r w:rsidRPr="009C14B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8" w:type="dxa"/>
          </w:tcPr>
          <w:p w:rsidR="003F0F83" w:rsidRPr="009C14BD" w:rsidRDefault="003F0F83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MET Directorate of</w:t>
            </w:r>
            <w:r w:rsidR="00616E29"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hAnsi="Times New Roman" w:cs="Times New Roman"/>
              </w:rPr>
              <w:t>Environmental</w:t>
            </w:r>
            <w:r w:rsidR="00616E29"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hAnsi="Times New Roman" w:cs="Times New Roman"/>
              </w:rPr>
              <w:t>Affairs</w:t>
            </w:r>
          </w:p>
        </w:tc>
        <w:tc>
          <w:tcPr>
            <w:tcW w:w="1637" w:type="dxa"/>
          </w:tcPr>
          <w:p w:rsidR="003F0F83" w:rsidRPr="009C14BD" w:rsidRDefault="003F0F83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hAnsi="Times New Roman" w:cs="Times New Roman"/>
              </w:rPr>
              <w:t>in the PRODOC</w:t>
            </w:r>
          </w:p>
        </w:tc>
        <w:tc>
          <w:tcPr>
            <w:tcW w:w="2077" w:type="dxa"/>
          </w:tcPr>
          <w:p w:rsidR="003F0F83" w:rsidRPr="009C14BD" w:rsidRDefault="003F0F83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Throughout the project 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3F0F83" w:rsidRPr="009C14BD" w:rsidRDefault="003F0F83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Agriculture,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Water and Forestry</w:t>
            </w:r>
          </w:p>
        </w:tc>
        <w:tc>
          <w:tcPr>
            <w:tcW w:w="2287" w:type="dxa"/>
          </w:tcPr>
          <w:p w:rsidR="003F0F83" w:rsidRPr="009C14BD" w:rsidRDefault="003F0F83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3F0F83" w:rsidRPr="009C14BD" w:rsidRDefault="003F0F83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inception, project management structures,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decision-making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s</w:t>
            </w:r>
            <w:r w:rsidRPr="009C14BD">
              <w:rPr>
                <w:rFonts w:ascii="Times New Roman" w:eastAsia="Times New Roman" w:hAnsi="Times New Roman" w:cs="Times New Roman"/>
              </w:rPr>
              <w:t>tructures, project reporting, lead focal landscape level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consultations activities with the Regional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Councils, the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resources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users and the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Traditional Authorities to determine and get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agreement on the acceptable approach forest</w:t>
            </w:r>
            <w:r w:rsidR="00BD7FDB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management (for output 2.2). Responsible Party for Component 2.</w:t>
            </w:r>
          </w:p>
        </w:tc>
        <w:tc>
          <w:tcPr>
            <w:tcW w:w="2168" w:type="dxa"/>
          </w:tcPr>
          <w:p w:rsidR="003F0F83" w:rsidRPr="009C14BD" w:rsidRDefault="003F0F83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MAFW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Directorate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Forestry</w:t>
            </w:r>
          </w:p>
        </w:tc>
        <w:tc>
          <w:tcPr>
            <w:tcW w:w="1637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PRODOC</w:t>
            </w:r>
          </w:p>
        </w:tc>
        <w:tc>
          <w:tcPr>
            <w:tcW w:w="2077" w:type="dxa"/>
          </w:tcPr>
          <w:p w:rsidR="003F0F83" w:rsidRPr="009C14BD" w:rsidRDefault="003F0F83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Throughout the project 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Land Reform</w:t>
            </w:r>
          </w:p>
        </w:tc>
        <w:tc>
          <w:tcPr>
            <w:tcW w:w="2287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 workshops, conferences, electronic communications, site visits</w:t>
            </w:r>
          </w:p>
        </w:tc>
        <w:tc>
          <w:tcPr>
            <w:tcW w:w="3688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inception, project decision-making structures engage to decide on the commercial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farms that will be used to pilot ecologically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sustainable method for bush control and aftercare, involvement in Output 2.1 activities,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reporting (for output 3.2). Responsible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Party for Output 2.1.</w:t>
            </w:r>
          </w:p>
        </w:tc>
        <w:tc>
          <w:tcPr>
            <w:tcW w:w="2168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Land Reform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Division Land Use Planning and Allocation,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PMU</w:t>
            </w:r>
          </w:p>
        </w:tc>
        <w:tc>
          <w:tcPr>
            <w:tcW w:w="1637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PRODOC</w:t>
            </w:r>
          </w:p>
        </w:tc>
        <w:tc>
          <w:tcPr>
            <w:tcW w:w="2077" w:type="dxa"/>
          </w:tcPr>
          <w:p w:rsidR="003F0F83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First six months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project to engage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on the identification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of the commercial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farms, and throughout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</w:t>
            </w:r>
          </w:p>
        </w:tc>
      </w:tr>
      <w:tr w:rsidR="009C14BD" w:rsidRPr="009C14BD" w:rsidTr="00616E29">
        <w:tc>
          <w:tcPr>
            <w:tcW w:w="2268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Urban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Rural Development (MURD)</w:t>
            </w:r>
          </w:p>
        </w:tc>
        <w:tc>
          <w:tcPr>
            <w:tcW w:w="2287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 xml:space="preserve">Face to face meetings, workshops, conferences, electronic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communications, site visits</w:t>
            </w:r>
          </w:p>
        </w:tc>
        <w:tc>
          <w:tcPr>
            <w:tcW w:w="3688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and inception, project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decision making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structures. Responsible Party for Output 2.1.</w:t>
            </w:r>
          </w:p>
        </w:tc>
        <w:tc>
          <w:tcPr>
            <w:tcW w:w="2168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MURD Directorate for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Decentralisation,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and Rural Development, PMU</w:t>
            </w:r>
          </w:p>
        </w:tc>
        <w:tc>
          <w:tcPr>
            <w:tcW w:w="1637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PRODOC</w:t>
            </w:r>
          </w:p>
        </w:tc>
        <w:tc>
          <w:tcPr>
            <w:tcW w:w="2077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 xml:space="preserve">Throughout the project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Ministry of Youth, National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Service, Sport and Culture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(MYNSSC)</w:t>
            </w:r>
          </w:p>
        </w:tc>
        <w:tc>
          <w:tcPr>
            <w:tcW w:w="2287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 workshops, conferences, electronic communications, site visits</w:t>
            </w:r>
          </w:p>
        </w:tc>
        <w:tc>
          <w:tcPr>
            <w:tcW w:w="3688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Engage to access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National Youth Service that will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participate in the piloting ecologically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sustainable method for bush control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aftercare.</w:t>
            </w:r>
          </w:p>
        </w:tc>
        <w:tc>
          <w:tcPr>
            <w:tcW w:w="2168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MYNSSC Directorate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Youth Functions and PMU</w:t>
            </w:r>
          </w:p>
        </w:tc>
        <w:tc>
          <w:tcPr>
            <w:tcW w:w="1637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PRODOC</w:t>
            </w:r>
          </w:p>
        </w:tc>
        <w:tc>
          <w:tcPr>
            <w:tcW w:w="2077" w:type="dxa"/>
          </w:tcPr>
          <w:p w:rsidR="00873E72" w:rsidRPr="009C14BD" w:rsidRDefault="00873E7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 the first six months of the project to engage on the Youth that will participate in the piloting ecologically sustainable method for bush control and aftercare. Throughout project implementation to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update on progress and impacts, so as to </w:t>
            </w:r>
            <w:r w:rsidR="0094447A" w:rsidRPr="009C14BD">
              <w:rPr>
                <w:rFonts w:ascii="Times New Roman" w:eastAsia="Times New Roman" w:hAnsi="Times New Roman" w:cs="Times New Roman"/>
              </w:rPr>
              <w:t>inform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future upscaling.</w:t>
            </w:r>
          </w:p>
        </w:tc>
      </w:tr>
      <w:tr w:rsidR="009C14BD" w:rsidRPr="009C14BD" w:rsidTr="00616E29">
        <w:tc>
          <w:tcPr>
            <w:tcW w:w="2268" w:type="dxa"/>
          </w:tcPr>
          <w:p w:rsidR="00873E72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Gender Equality and Child Welfare (MGECW)</w:t>
            </w:r>
          </w:p>
        </w:tc>
        <w:tc>
          <w:tcPr>
            <w:tcW w:w="2287" w:type="dxa"/>
          </w:tcPr>
          <w:p w:rsidR="00873E72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 workshops, conferences, electronic communications, site visits</w:t>
            </w:r>
          </w:p>
        </w:tc>
        <w:tc>
          <w:tcPr>
            <w:tcW w:w="3688" w:type="dxa"/>
          </w:tcPr>
          <w:p w:rsidR="00873E72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Engage to get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updates on the gender mainstreaming policy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landscape. Gender focal person in the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must report share with the ministry how the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is mainstreaming gender, ensuring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gender equality and women empowerment.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Will be part of the project decision-making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committees.</w:t>
            </w:r>
          </w:p>
        </w:tc>
        <w:tc>
          <w:tcPr>
            <w:tcW w:w="2168" w:type="dxa"/>
          </w:tcPr>
          <w:p w:rsidR="00873E72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MGECW Directorate that deals with Gender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Mainstreaming, and PMU</w:t>
            </w:r>
          </w:p>
        </w:tc>
        <w:tc>
          <w:tcPr>
            <w:tcW w:w="1637" w:type="dxa"/>
          </w:tcPr>
          <w:p w:rsidR="00873E72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 in the PRODOC</w:t>
            </w:r>
          </w:p>
        </w:tc>
        <w:tc>
          <w:tcPr>
            <w:tcW w:w="2077" w:type="dxa"/>
          </w:tcPr>
          <w:p w:rsidR="00873E72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Throughout the 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Industrialisation, Trade and SME Development (MITSD)</w:t>
            </w:r>
          </w:p>
        </w:tc>
        <w:tc>
          <w:tcPr>
            <w:tcW w:w="2287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 workshops, conferences, electronic communications, site visits</w:t>
            </w:r>
          </w:p>
        </w:tc>
        <w:tc>
          <w:tcPr>
            <w:tcW w:w="368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Engage to get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updates on the SME development policy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landscape. Engage the ministry to get support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on enterprises mentorship for the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supported Nature Based Enterprises.</w:t>
            </w:r>
          </w:p>
        </w:tc>
        <w:tc>
          <w:tcPr>
            <w:tcW w:w="21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MITSD Directorate that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deals with SME development and support and the PMU</w:t>
            </w:r>
          </w:p>
        </w:tc>
        <w:tc>
          <w:tcPr>
            <w:tcW w:w="163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As determined in the PRODOC</w:t>
            </w:r>
          </w:p>
        </w:tc>
        <w:tc>
          <w:tcPr>
            <w:tcW w:w="207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Throughout the 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Ministry of Poverty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Eradication and Social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Welfare (MPESW)</w:t>
            </w:r>
          </w:p>
        </w:tc>
        <w:tc>
          <w:tcPr>
            <w:tcW w:w="2287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 xml:space="preserve">Face to face meetings, workshops, conferences, electronic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communications, site visits</w:t>
            </w:r>
          </w:p>
        </w:tc>
        <w:tc>
          <w:tcPr>
            <w:tcW w:w="368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Project launch and inception. Engage to get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updates on the Poverty Reduction Blueprint.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Will be part of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the project decision making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committees.</w:t>
            </w:r>
          </w:p>
        </w:tc>
        <w:tc>
          <w:tcPr>
            <w:tcW w:w="21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MPESW Directorate that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deals with </w:t>
            </w:r>
            <w:r w:rsidRPr="009C14BD">
              <w:rPr>
                <w:rFonts w:ascii="Times New Roman" w:eastAsia="Times New Roman" w:hAnsi="Times New Roman" w:cs="Times New Roman"/>
              </w:rPr>
              <w:lastRenderedPageBreak/>
              <w:t>poverty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eradication, and PMU</w:t>
            </w:r>
          </w:p>
        </w:tc>
        <w:tc>
          <w:tcPr>
            <w:tcW w:w="163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lastRenderedPageBreak/>
              <w:t>As determined in the PRODOC</w:t>
            </w:r>
          </w:p>
        </w:tc>
        <w:tc>
          <w:tcPr>
            <w:tcW w:w="207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Throughout the 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National Planning Commission (NPC)</w:t>
            </w:r>
          </w:p>
        </w:tc>
        <w:tc>
          <w:tcPr>
            <w:tcW w:w="2287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 workshops, conferences, electronic communications, site visits</w:t>
            </w:r>
          </w:p>
        </w:tc>
        <w:tc>
          <w:tcPr>
            <w:tcW w:w="368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Should part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project decision making committees. Key for Component 4 of the project.</w:t>
            </w:r>
          </w:p>
        </w:tc>
        <w:tc>
          <w:tcPr>
            <w:tcW w:w="21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NPC Directorate on Projects and Programmes, and PMU</w:t>
            </w:r>
          </w:p>
        </w:tc>
        <w:tc>
          <w:tcPr>
            <w:tcW w:w="163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As determined in the PRODOC</w:t>
            </w:r>
          </w:p>
        </w:tc>
        <w:tc>
          <w:tcPr>
            <w:tcW w:w="207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Throughout the implementation phase</w:t>
            </w:r>
          </w:p>
        </w:tc>
      </w:tr>
      <w:tr w:rsidR="0094447A" w:rsidRPr="009C14BD" w:rsidTr="00616E29">
        <w:tc>
          <w:tcPr>
            <w:tcW w:w="14125" w:type="dxa"/>
            <w:gridSpan w:val="6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  <w:b/>
              </w:rPr>
            </w:pPr>
            <w:r w:rsidRPr="009C14BD">
              <w:rPr>
                <w:rFonts w:ascii="Times New Roman" w:eastAsia="Times New Roman" w:hAnsi="Times New Roman" w:cs="Times New Roman"/>
                <w:b/>
              </w:rPr>
              <w:t xml:space="preserve">Parastatals </w:t>
            </w:r>
          </w:p>
        </w:tc>
      </w:tr>
      <w:tr w:rsidR="009C14BD" w:rsidRPr="009C14BD" w:rsidTr="00616E29">
        <w:tc>
          <w:tcPr>
            <w:tcW w:w="22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Environmental Investment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Fund (EIF)</w:t>
            </w:r>
          </w:p>
        </w:tc>
        <w:tc>
          <w:tcPr>
            <w:tcW w:w="2287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</w:p>
        </w:tc>
        <w:tc>
          <w:tcPr>
            <w:tcW w:w="368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inception, project management structures,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decision making structures,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reporting, Responsible Party for Component 3.</w:t>
            </w:r>
          </w:p>
        </w:tc>
        <w:tc>
          <w:tcPr>
            <w:tcW w:w="21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EIF and PMU</w:t>
            </w:r>
          </w:p>
        </w:tc>
        <w:tc>
          <w:tcPr>
            <w:tcW w:w="163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As determined in the PRODOC</w:t>
            </w:r>
          </w:p>
        </w:tc>
        <w:tc>
          <w:tcPr>
            <w:tcW w:w="207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Throughout the implementation phase</w:t>
            </w:r>
          </w:p>
        </w:tc>
      </w:tr>
      <w:tr w:rsidR="009C14BD" w:rsidRPr="009C14BD" w:rsidTr="00616E29">
        <w:tc>
          <w:tcPr>
            <w:tcW w:w="2268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National Commission 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Research, Science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Technology (NCRST)</w:t>
            </w:r>
          </w:p>
        </w:tc>
        <w:tc>
          <w:tcPr>
            <w:tcW w:w="2287" w:type="dxa"/>
          </w:tcPr>
          <w:p w:rsidR="0094447A" w:rsidRPr="009C14BD" w:rsidRDefault="0094447A" w:rsidP="009C1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8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Project launch and inception, reporting to</w:t>
            </w:r>
            <w:r w:rsidR="004069F2" w:rsidRPr="009C14BD">
              <w:rPr>
                <w:rFonts w:ascii="Times New Roman" w:hAnsi="Times New Roman" w:cs="Times New Roman"/>
              </w:rPr>
              <w:t xml:space="preserve"> showcase innovations from the project</w:t>
            </w:r>
          </w:p>
        </w:tc>
        <w:tc>
          <w:tcPr>
            <w:tcW w:w="2168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NCRST and</w:t>
            </w:r>
            <w:r w:rsidR="004069F2" w:rsidRPr="009C14BD">
              <w:rPr>
                <w:rFonts w:ascii="Times New Roman" w:hAnsi="Times New Roman" w:cs="Times New Roman"/>
              </w:rPr>
              <w:t xml:space="preserve"> PMU</w:t>
            </w:r>
          </w:p>
        </w:tc>
        <w:tc>
          <w:tcPr>
            <w:tcW w:w="163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77" w:type="dxa"/>
          </w:tcPr>
          <w:p w:rsidR="0094447A" w:rsidRPr="009C14BD" w:rsidRDefault="0094447A" w:rsidP="009C14BD">
            <w:pPr>
              <w:rPr>
                <w:rFonts w:ascii="Times New Roman" w:hAnsi="Times New Roman" w:cs="Times New Roman"/>
              </w:rPr>
            </w:pPr>
            <w:r w:rsidRPr="009C14BD">
              <w:rPr>
                <w:rFonts w:ascii="Times New Roman" w:hAnsi="Times New Roman" w:cs="Times New Roman"/>
              </w:rPr>
              <w:t>When applicable</w:t>
            </w:r>
          </w:p>
        </w:tc>
      </w:tr>
      <w:tr w:rsidR="00616E29" w:rsidRPr="009C14BD" w:rsidTr="00616E29">
        <w:tc>
          <w:tcPr>
            <w:tcW w:w="14125" w:type="dxa"/>
            <w:gridSpan w:val="6"/>
          </w:tcPr>
          <w:p w:rsidR="00616E29" w:rsidRPr="009C14BD" w:rsidRDefault="00616E29" w:rsidP="009C14BD">
            <w:pPr>
              <w:rPr>
                <w:rFonts w:ascii="Times New Roman" w:eastAsia="Times New Roman" w:hAnsi="Times New Roman" w:cs="Times New Roman"/>
                <w:b/>
              </w:rPr>
            </w:pPr>
            <w:r w:rsidRPr="009C14BD">
              <w:rPr>
                <w:rFonts w:ascii="Times New Roman" w:eastAsia="Times New Roman" w:hAnsi="Times New Roman" w:cs="Times New Roman"/>
                <w:b/>
              </w:rPr>
              <w:t>Academic Institutions</w:t>
            </w:r>
          </w:p>
        </w:tc>
      </w:tr>
      <w:tr w:rsidR="009C14BD" w:rsidRPr="009C14BD" w:rsidTr="00616E29">
        <w:trPr>
          <w:cantSplit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University of Namibia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(UNAM)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Research activities on baseline studies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longitudinal impact studies, knowledge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production and sharing, involve UNAM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students to capture lessons learned as part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research projects</w:t>
            </w:r>
          </w:p>
        </w:tc>
        <w:tc>
          <w:tcPr>
            <w:tcW w:w="21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UNAM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to be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determined by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PMU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commissioned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projects</w:t>
            </w:r>
          </w:p>
        </w:tc>
        <w:tc>
          <w:tcPr>
            <w:tcW w:w="207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Inception phase, mid-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term and end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phase</w:t>
            </w:r>
          </w:p>
        </w:tc>
      </w:tr>
      <w:tr w:rsidR="009C14BD" w:rsidRPr="009C14BD" w:rsidTr="00616E29">
        <w:trPr>
          <w:cantSplit/>
          <w:trHeight w:val="1136"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Namibia University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Science and Technology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(NUST)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Research activities on baseline studies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longitudinal impact studies, knowledge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production and sharing, involve NUST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students to capture lessons learned as part of research projects.</w:t>
            </w:r>
          </w:p>
        </w:tc>
        <w:tc>
          <w:tcPr>
            <w:tcW w:w="21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NUST and PMU</w:t>
            </w:r>
          </w:p>
        </w:tc>
        <w:tc>
          <w:tcPr>
            <w:tcW w:w="163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to be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determined by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PMU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commissioned</w:t>
            </w:r>
          </w:p>
        </w:tc>
        <w:tc>
          <w:tcPr>
            <w:tcW w:w="207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Inception phase, mid-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term and end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phase</w:t>
            </w:r>
          </w:p>
        </w:tc>
      </w:tr>
      <w:tr w:rsidR="00616E29" w:rsidRPr="009C14BD" w:rsidTr="00616E29">
        <w:trPr>
          <w:cantSplit/>
          <w:trHeight w:val="262"/>
        </w:trPr>
        <w:tc>
          <w:tcPr>
            <w:tcW w:w="14125" w:type="dxa"/>
            <w:gridSpan w:val="6"/>
          </w:tcPr>
          <w:p w:rsidR="00616E29" w:rsidRPr="009C14BD" w:rsidRDefault="00616E29" w:rsidP="009C14BD">
            <w:pPr>
              <w:rPr>
                <w:rFonts w:ascii="Times New Roman" w:eastAsia="Times New Roman" w:hAnsi="Times New Roman" w:cs="Times New Roman"/>
                <w:b/>
              </w:rPr>
            </w:pPr>
            <w:r w:rsidRPr="009C14BD">
              <w:rPr>
                <w:rFonts w:ascii="Times New Roman" w:eastAsia="Times New Roman" w:hAnsi="Times New Roman" w:cs="Times New Roman"/>
                <w:b/>
              </w:rPr>
              <w:t>Civil Society and NGOs</w:t>
            </w:r>
          </w:p>
        </w:tc>
      </w:tr>
      <w:tr w:rsidR="009C14BD" w:rsidRPr="009C14BD" w:rsidTr="00616E29">
        <w:trPr>
          <w:cantSplit/>
          <w:trHeight w:val="1432"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Namibia Nature Foundation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(NNF)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</w:p>
        </w:tc>
        <w:tc>
          <w:tcPr>
            <w:tcW w:w="368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inception, project decision making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structures, could provide capacity building to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="004334BF" w:rsidRPr="009C14BD">
              <w:rPr>
                <w:rFonts w:ascii="Times New Roman" w:eastAsia="Times New Roman" w:hAnsi="Times New Roman" w:cs="Times New Roman"/>
              </w:rPr>
              <w:t>community-based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institutions and support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services to implement restorations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agroforestry activities</w:t>
            </w:r>
          </w:p>
        </w:tc>
        <w:tc>
          <w:tcPr>
            <w:tcW w:w="21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NNF and PMU</w:t>
            </w:r>
          </w:p>
        </w:tc>
        <w:tc>
          <w:tcPr>
            <w:tcW w:w="163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Prodoc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--- to be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commissioned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out.</w:t>
            </w:r>
          </w:p>
        </w:tc>
        <w:tc>
          <w:tcPr>
            <w:tcW w:w="207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Throughout the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 phase</w:t>
            </w:r>
          </w:p>
        </w:tc>
      </w:tr>
      <w:tr w:rsidR="009C14BD" w:rsidRPr="009C14BD" w:rsidTr="00616E29">
        <w:trPr>
          <w:cantSplit/>
          <w:trHeight w:val="1423"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Namibian Association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Community-Based Natural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Resources Management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Support Organisation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(NACSO)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inception, project decision making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structures, could provide capacity building to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="004334BF" w:rsidRPr="009C14BD">
              <w:rPr>
                <w:rFonts w:ascii="Times New Roman" w:eastAsia="Times New Roman" w:hAnsi="Times New Roman" w:cs="Times New Roman"/>
              </w:rPr>
              <w:t>community-based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institutions and support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services to implement restorations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agroforestry activities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NACSO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</w:t>
            </w:r>
            <w:r w:rsidR="009C14BD">
              <w:rPr>
                <w:rFonts w:ascii="Times New Roman" w:eastAsia="Times New Roman" w:hAnsi="Times New Roman" w:cs="Times New Roman"/>
              </w:rPr>
              <w:t xml:space="preserve">RODOC </w:t>
            </w:r>
            <w:r w:rsidRPr="009C14BD">
              <w:rPr>
                <w:rFonts w:ascii="Times New Roman" w:eastAsia="Times New Roman" w:hAnsi="Times New Roman" w:cs="Times New Roman"/>
              </w:rPr>
              <w:t>–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to</w:t>
            </w:r>
            <w:r w:rsidR="009C14BD">
              <w:rPr>
                <w:rFonts w:ascii="Times New Roman" w:eastAsia="Times New Roman" w:hAnsi="Times New Roman" w:cs="Times New Roman"/>
              </w:rPr>
              <w:t xml:space="preserve"> be </w:t>
            </w:r>
            <w:r w:rsidRPr="009C14BD">
              <w:rPr>
                <w:rFonts w:ascii="Times New Roman" w:eastAsia="Times New Roman" w:hAnsi="Times New Roman" w:cs="Times New Roman"/>
              </w:rPr>
              <w:t>commissioned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out.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Throughout the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 phase</w:t>
            </w:r>
          </w:p>
        </w:tc>
      </w:tr>
      <w:tr w:rsidR="006A364B" w:rsidRPr="009C14BD" w:rsidTr="00616E29">
        <w:trPr>
          <w:cantSplit/>
          <w:trHeight w:val="40"/>
        </w:trPr>
        <w:tc>
          <w:tcPr>
            <w:tcW w:w="14125" w:type="dxa"/>
            <w:gridSpan w:val="6"/>
            <w:vAlign w:val="bottom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  <w:b/>
              </w:rPr>
            </w:pPr>
            <w:r w:rsidRPr="009C14BD">
              <w:rPr>
                <w:rFonts w:ascii="Times New Roman" w:eastAsia="Times New Roman" w:hAnsi="Times New Roman" w:cs="Times New Roman"/>
                <w:b/>
              </w:rPr>
              <w:t>International Development Organisations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United Nations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Development Programme (UNDP)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inception, executing functions, project</w:t>
            </w:r>
            <w:r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management structures, project decision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making structures, project reporting,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accountable to GEF for project oversight.</w:t>
            </w:r>
          </w:p>
        </w:tc>
        <w:tc>
          <w:tcPr>
            <w:tcW w:w="21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UNDP Energy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Environment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Programme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</w:t>
            </w:r>
            <w:r w:rsidR="009C14BD">
              <w:rPr>
                <w:rFonts w:ascii="Times New Roman" w:eastAsia="Times New Roman" w:hAnsi="Times New Roman" w:cs="Times New Roman"/>
              </w:rPr>
              <w:t>RODOC</w:t>
            </w:r>
          </w:p>
        </w:tc>
        <w:tc>
          <w:tcPr>
            <w:tcW w:w="207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Throughout the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implementation phase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Deutsche Gesellschaft für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Internationale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Zusammenarbeit (GIZ)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Involve in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conferences and workshops for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information sharing, lessons learned, engage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for synergies</w:t>
            </w:r>
          </w:p>
        </w:tc>
        <w:tc>
          <w:tcPr>
            <w:tcW w:w="21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GIZ and PMU</w:t>
            </w:r>
          </w:p>
        </w:tc>
        <w:tc>
          <w:tcPr>
            <w:tcW w:w="163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07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When applicable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Food and Agricultural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Organisations of the United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Nations (FAO)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Involve in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conferences and workshops for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information sharing, lessons learned, synergies</w:t>
            </w:r>
          </w:p>
        </w:tc>
        <w:tc>
          <w:tcPr>
            <w:tcW w:w="2168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FAO and PMU</w:t>
            </w:r>
          </w:p>
        </w:tc>
        <w:tc>
          <w:tcPr>
            <w:tcW w:w="163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 xml:space="preserve">None </w:t>
            </w:r>
          </w:p>
        </w:tc>
        <w:tc>
          <w:tcPr>
            <w:tcW w:w="2077" w:type="dxa"/>
          </w:tcPr>
          <w:p w:rsidR="006A364B" w:rsidRPr="009C14BD" w:rsidRDefault="006A364B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When applicable</w:t>
            </w:r>
          </w:p>
        </w:tc>
      </w:tr>
      <w:tr w:rsidR="00A11D07" w:rsidRPr="009C14BD" w:rsidTr="00616E29">
        <w:trPr>
          <w:cantSplit/>
          <w:trHeight w:val="40"/>
        </w:trPr>
        <w:tc>
          <w:tcPr>
            <w:tcW w:w="14125" w:type="dxa"/>
            <w:gridSpan w:val="6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  <w:b/>
              </w:rPr>
            </w:pPr>
            <w:r w:rsidRPr="009C14BD">
              <w:rPr>
                <w:rFonts w:ascii="Times New Roman" w:eastAsia="Times New Roman" w:hAnsi="Times New Roman" w:cs="Times New Roman"/>
                <w:b/>
              </w:rPr>
              <w:t>Landscape level stakeholders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Regional Councils: Kunene,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Omusati, Ohangwena,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Kavango West and Zambezi</w:t>
            </w:r>
          </w:p>
        </w:tc>
        <w:tc>
          <w:tcPr>
            <w:tcW w:w="228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appraisal and validation, project launch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inception, project updates in the different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phases. Involve in the activities to negotiate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land for forest management, raise awareness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on the different project activities especially 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identification of the best approaches to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manage the forests, have regional council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officials attend and officiate at regional level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activities have regional councils involved in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 implementation of the integrated regional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land use plans</w:t>
            </w:r>
          </w:p>
        </w:tc>
        <w:tc>
          <w:tcPr>
            <w:tcW w:w="216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Regional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Councils CROs,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Development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Planning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Divisions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PMU, MAWF</w:t>
            </w:r>
          </w:p>
        </w:tc>
        <w:tc>
          <w:tcPr>
            <w:tcW w:w="163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PRODOC</w:t>
            </w:r>
          </w:p>
        </w:tc>
        <w:tc>
          <w:tcPr>
            <w:tcW w:w="207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During the first 6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months of the project,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 throughout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Community Forests</w:t>
            </w:r>
          </w:p>
        </w:tc>
        <w:tc>
          <w:tcPr>
            <w:tcW w:w="228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conferences,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electronic communications,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site visits</w:t>
            </w:r>
          </w:p>
        </w:tc>
        <w:tc>
          <w:tcPr>
            <w:tcW w:w="368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Involve in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conferences and workshops for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information sharing, lessons learned,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Community Forests meetings and trainings</w:t>
            </w:r>
          </w:p>
        </w:tc>
        <w:tc>
          <w:tcPr>
            <w:tcW w:w="216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Community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Forests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</w:t>
            </w:r>
            <w:r w:rsidR="009C14BD">
              <w:rPr>
                <w:rFonts w:ascii="Times New Roman" w:eastAsia="Times New Roman" w:hAnsi="Times New Roman" w:cs="Times New Roman"/>
              </w:rPr>
              <w:t>RODOC</w:t>
            </w:r>
          </w:p>
        </w:tc>
        <w:tc>
          <w:tcPr>
            <w:tcW w:w="207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Throughout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Traditional Authorities: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Vita Thom Royal House,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Uukolonkadhi Traditional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Authority, Oukwanyama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Traditional Authority,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Uukwangali Traditional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Authority, Masubia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Mafwe Traditional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Authorities</w:t>
            </w:r>
          </w:p>
        </w:tc>
        <w:tc>
          <w:tcPr>
            <w:tcW w:w="228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site visits</w:t>
            </w:r>
          </w:p>
        </w:tc>
        <w:tc>
          <w:tcPr>
            <w:tcW w:w="368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Project launch and inception. Involve in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 conferences and workshops for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information sharing. Engage at the very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beginning of the project to discuss the best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approach for forest management.</w:t>
            </w:r>
          </w:p>
        </w:tc>
        <w:tc>
          <w:tcPr>
            <w:tcW w:w="2168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Traditional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Authorities,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PMU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MAWF</w:t>
            </w:r>
          </w:p>
        </w:tc>
        <w:tc>
          <w:tcPr>
            <w:tcW w:w="1637" w:type="dxa"/>
          </w:tcPr>
          <w:p w:rsidR="00A11D07" w:rsidRPr="009C14BD" w:rsidRDefault="00A11D07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 in the PRODOC</w:t>
            </w:r>
          </w:p>
        </w:tc>
        <w:tc>
          <w:tcPr>
            <w:tcW w:w="2077" w:type="dxa"/>
          </w:tcPr>
          <w:p w:rsidR="00A11D07" w:rsidRPr="009C14BD" w:rsidRDefault="00A11D07" w:rsidP="009C14BD">
            <w:pPr>
              <w:pStyle w:val="Tit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>In the first 6 months</w:t>
            </w:r>
            <w:r w:rsidR="00616E29"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>of the project,</w:t>
            </w:r>
            <w:r w:rsidR="00616E29"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>throughout project</w:t>
            </w:r>
            <w:r w:rsidR="00616E29"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  <w:sz w:val="22"/>
                <w:szCs w:val="22"/>
              </w:rPr>
              <w:t>implementation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A11D07" w:rsidRPr="009C14BD" w:rsidRDefault="002D72DF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The San people in the areas around and/or within the Ruacana, Okongo 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Nkulivere focal landscapes</w:t>
            </w:r>
          </w:p>
        </w:tc>
        <w:tc>
          <w:tcPr>
            <w:tcW w:w="2287" w:type="dxa"/>
          </w:tcPr>
          <w:p w:rsidR="00A11D07" w:rsidRPr="009C14BD" w:rsidRDefault="002D72DF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printed information</w:t>
            </w:r>
            <w:r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materials, site visits</w:t>
            </w:r>
          </w:p>
        </w:tc>
        <w:tc>
          <w:tcPr>
            <w:tcW w:w="3688" w:type="dxa"/>
          </w:tcPr>
          <w:p w:rsidR="00A11D07" w:rsidRPr="009C14BD" w:rsidRDefault="002D72DF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Raising awareness on the project activities,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how they can be involved and how they will</w:t>
            </w:r>
            <w:r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benefit from the project, the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importance of the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project, 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e.g. </w:t>
            </w:r>
            <w:r w:rsidRPr="009C14BD">
              <w:rPr>
                <w:rFonts w:ascii="Times New Roman" w:eastAsia="Times New Roman" w:hAnsi="Times New Roman" w:cs="Times New Roman"/>
              </w:rPr>
              <w:t>how they can participate in restoration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activities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. </w:t>
            </w:r>
            <w:r w:rsidRPr="009C14BD">
              <w:rPr>
                <w:rFonts w:ascii="Times New Roman" w:eastAsia="Times New Roman" w:hAnsi="Times New Roman" w:cs="Times New Roman"/>
              </w:rPr>
              <w:t>The project should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support in terms of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="00142FEC" w:rsidRPr="009C14BD">
              <w:rPr>
                <w:rFonts w:ascii="Times New Roman" w:eastAsia="Times New Roman" w:hAnsi="Times New Roman" w:cs="Times New Roman"/>
              </w:rPr>
              <w:t>i</w:t>
            </w:r>
            <w:r w:rsidRPr="009C14BD">
              <w:rPr>
                <w:rFonts w:ascii="Times New Roman" w:eastAsia="Times New Roman" w:hAnsi="Times New Roman" w:cs="Times New Roman"/>
              </w:rPr>
              <w:t>ncentives to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participat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e </w:t>
            </w:r>
            <w:r w:rsidRPr="009C14BD">
              <w:rPr>
                <w:rFonts w:ascii="Times New Roman" w:eastAsia="Times New Roman" w:hAnsi="Times New Roman" w:cs="Times New Roman"/>
              </w:rPr>
              <w:t>in community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development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activities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(including governance structures),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and also, to start up </w:t>
            </w:r>
            <w:r w:rsidR="004E2324" w:rsidRPr="009C14BD">
              <w:rPr>
                <w:rFonts w:ascii="Times New Roman" w:eastAsia="Times New Roman" w:hAnsi="Times New Roman" w:cs="Times New Roman"/>
              </w:rPr>
              <w:t>income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generation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activities (identify and build talent, support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with household gardens), have the San people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(youth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and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women</w:t>
            </w:r>
            <w:r w:rsidR="00900452" w:rsidRPr="009C14BD">
              <w:rPr>
                <w:rFonts w:ascii="Times New Roman" w:eastAsia="Times New Roman" w:hAnsi="Times New Roman" w:cs="Times New Roman"/>
              </w:rPr>
              <w:t xml:space="preserve">) </w:t>
            </w:r>
            <w:r w:rsidRPr="009C14BD">
              <w:rPr>
                <w:rFonts w:ascii="Times New Roman" w:eastAsia="Times New Roman" w:hAnsi="Times New Roman" w:cs="Times New Roman"/>
              </w:rPr>
              <w:t>involved</w:t>
            </w:r>
            <w:r w:rsidR="00900452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restoration activities and part of the supply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chain for the </w:t>
            </w:r>
            <w:r w:rsidR="00900452" w:rsidRPr="009C14BD">
              <w:rPr>
                <w:rFonts w:ascii="Times New Roman" w:eastAsia="Times New Roman" w:hAnsi="Times New Roman" w:cs="Times New Roman"/>
              </w:rPr>
              <w:t>n</w:t>
            </w:r>
            <w:r w:rsidRPr="009C14BD">
              <w:rPr>
                <w:rFonts w:ascii="Times New Roman" w:eastAsia="Times New Roman" w:hAnsi="Times New Roman" w:cs="Times New Roman"/>
              </w:rPr>
              <w:t>ature-</w:t>
            </w:r>
            <w:r w:rsidR="00900452" w:rsidRPr="009C14BD">
              <w:rPr>
                <w:rFonts w:ascii="Times New Roman" w:eastAsia="Times New Roman" w:hAnsi="Times New Roman" w:cs="Times New Roman"/>
              </w:rPr>
              <w:t>b</w:t>
            </w:r>
            <w:r w:rsidRPr="009C14BD">
              <w:rPr>
                <w:rFonts w:ascii="Times New Roman" w:eastAsia="Times New Roman" w:hAnsi="Times New Roman" w:cs="Times New Roman"/>
              </w:rPr>
              <w:t>ased Enterprises.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14BD">
              <w:rPr>
                <w:rFonts w:ascii="Times New Roman" w:eastAsia="Times New Roman" w:hAnsi="Times New Roman" w:cs="Times New Roman"/>
              </w:rPr>
              <w:t>For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the support to the </w:t>
            </w:r>
            <w:r w:rsidR="00442962" w:rsidRPr="009C14BD">
              <w:rPr>
                <w:rFonts w:ascii="Times New Roman" w:eastAsia="Times New Roman" w:hAnsi="Times New Roman" w:cs="Times New Roman"/>
              </w:rPr>
              <w:t>San people</w:t>
            </w:r>
            <w:r w:rsidRPr="009C14BD">
              <w:rPr>
                <w:rFonts w:ascii="Times New Roman" w:eastAsia="Times New Roman" w:hAnsi="Times New Roman" w:cs="Times New Roman"/>
              </w:rPr>
              <w:t>, the project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="00900452" w:rsidRPr="009C14BD">
              <w:rPr>
                <w:rFonts w:ascii="Times New Roman" w:eastAsia="Times New Roman" w:hAnsi="Times New Roman" w:cs="Times New Roman"/>
              </w:rPr>
              <w:t>will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work in collaboration with the</w:t>
            </w:r>
            <w:r w:rsidR="004E2324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Constituency Councilors.</w:t>
            </w:r>
          </w:p>
        </w:tc>
        <w:tc>
          <w:tcPr>
            <w:tcW w:w="2168" w:type="dxa"/>
          </w:tcPr>
          <w:p w:rsidR="00A11D07" w:rsidRPr="009C14BD" w:rsidRDefault="002D72DF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</w:tcPr>
          <w:p w:rsidR="00A11D07" w:rsidRPr="009C14BD" w:rsidRDefault="002D72DF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 budget line item for the implementation of the Indigenous Peoples Plan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should be built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budget.</w:t>
            </w:r>
          </w:p>
        </w:tc>
        <w:tc>
          <w:tcPr>
            <w:tcW w:w="2077" w:type="dxa"/>
          </w:tcPr>
          <w:p w:rsidR="00A11D07" w:rsidRPr="009C14BD" w:rsidRDefault="002D72DF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 the first 6 months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of the project,</w:t>
            </w:r>
            <w:r w:rsidRPr="009C14BD">
              <w:rPr>
                <w:rFonts w:ascii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throughout project implementation</w:t>
            </w:r>
          </w:p>
        </w:tc>
      </w:tr>
      <w:tr w:rsidR="009C14BD" w:rsidRPr="009C14BD" w:rsidTr="00616E29">
        <w:trPr>
          <w:cantSplit/>
          <w:trHeight w:val="40"/>
        </w:trPr>
        <w:tc>
          <w:tcPr>
            <w:tcW w:w="2268" w:type="dxa"/>
          </w:tcPr>
          <w:p w:rsidR="002D72DF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The Ovahimba people in the Omaoipanga and Ruacana focal landscapes</w:t>
            </w:r>
          </w:p>
        </w:tc>
        <w:tc>
          <w:tcPr>
            <w:tcW w:w="2287" w:type="dxa"/>
          </w:tcPr>
          <w:p w:rsidR="002D72DF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printed information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materials, site visits</w:t>
            </w:r>
          </w:p>
        </w:tc>
        <w:tc>
          <w:tcPr>
            <w:tcW w:w="3688" w:type="dxa"/>
          </w:tcPr>
          <w:p w:rsidR="002D72DF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Raising awareness on the project activities,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how they can be involved and how they will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benefit from the project, the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i</w:t>
            </w:r>
            <w:r w:rsidRPr="009C14BD">
              <w:rPr>
                <w:rFonts w:ascii="Times New Roman" w:eastAsia="Times New Roman" w:hAnsi="Times New Roman" w:cs="Times New Roman"/>
              </w:rPr>
              <w:t>mportance of the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project, how they can participate in restoration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activities. Engage them in selecting specific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areas for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restoration, provide incentives and/or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alternatives for availing land for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restoration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="004E2324" w:rsidRPr="009C14BD">
              <w:rPr>
                <w:rFonts w:ascii="Times New Roman" w:eastAsia="Times New Roman" w:hAnsi="Times New Roman" w:cs="Times New Roman"/>
              </w:rPr>
              <w:t>activities.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="004E2324" w:rsidRPr="009C14BD">
              <w:rPr>
                <w:rFonts w:ascii="Times New Roman" w:eastAsia="Times New Roman" w:hAnsi="Times New Roman" w:cs="Times New Roman"/>
              </w:rPr>
              <w:t>I</w:t>
            </w:r>
            <w:r w:rsidRPr="009C14BD">
              <w:rPr>
                <w:rFonts w:ascii="Times New Roman" w:eastAsia="Times New Roman" w:hAnsi="Times New Roman" w:cs="Times New Roman"/>
              </w:rPr>
              <w:t>nvolve the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communit</w:t>
            </w:r>
            <w:r w:rsidR="00142FEC" w:rsidRPr="009C14BD">
              <w:rPr>
                <w:rFonts w:ascii="Times New Roman" w:eastAsia="Times New Roman" w:hAnsi="Times New Roman" w:cs="Times New Roman"/>
              </w:rPr>
              <w:t>y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members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restoration activities, explain and make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them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understand about the time periods. Have</w:t>
            </w:r>
            <w:r w:rsidR="00142FEC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update meetings. The project must directly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involve the MAWF at the regional level.</w:t>
            </w:r>
          </w:p>
        </w:tc>
        <w:tc>
          <w:tcPr>
            <w:tcW w:w="2168" w:type="dxa"/>
          </w:tcPr>
          <w:p w:rsidR="002D72DF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 xml:space="preserve">PMU </w:t>
            </w:r>
          </w:p>
        </w:tc>
        <w:tc>
          <w:tcPr>
            <w:tcW w:w="1637" w:type="dxa"/>
          </w:tcPr>
          <w:p w:rsidR="002D72DF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 in the PRODOC</w:t>
            </w:r>
          </w:p>
        </w:tc>
        <w:tc>
          <w:tcPr>
            <w:tcW w:w="2077" w:type="dxa"/>
          </w:tcPr>
          <w:p w:rsidR="002D72DF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 the first 6 months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of the project,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throughout project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</w:t>
            </w:r>
          </w:p>
        </w:tc>
      </w:tr>
      <w:tr w:rsidR="009C14BD" w:rsidRPr="009C14BD" w:rsidTr="00616E29">
        <w:trPr>
          <w:cantSplit/>
          <w:trHeight w:val="935"/>
        </w:trPr>
        <w:tc>
          <w:tcPr>
            <w:tcW w:w="2268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lastRenderedPageBreak/>
              <w:t>Women and the youth</w:t>
            </w:r>
          </w:p>
        </w:tc>
        <w:tc>
          <w:tcPr>
            <w:tcW w:w="2287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3E035B" w:rsidRPr="009C14BD">
              <w:rPr>
                <w:rFonts w:ascii="Times New Roman" w:eastAsia="Times New Roman" w:hAnsi="Times New Roman" w:cs="Times New Roman"/>
              </w:rPr>
              <w:t xml:space="preserve"> workshops,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printed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information materials, site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visits</w:t>
            </w:r>
          </w:p>
        </w:tc>
        <w:tc>
          <w:tcPr>
            <w:tcW w:w="3688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Raising awareness on the project, how they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can be involved and how they will benefit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from the project, the importance of the project,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how they can participate in the project.</w:t>
            </w:r>
          </w:p>
        </w:tc>
        <w:tc>
          <w:tcPr>
            <w:tcW w:w="2168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in the P</w:t>
            </w:r>
            <w:r w:rsidR="00616E29" w:rsidRPr="009C14BD">
              <w:rPr>
                <w:rFonts w:ascii="Times New Roman" w:eastAsia="Times New Roman" w:hAnsi="Times New Roman" w:cs="Times New Roman"/>
              </w:rPr>
              <w:t>RODOC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 and Gender Action Plan</w:t>
            </w:r>
          </w:p>
        </w:tc>
        <w:tc>
          <w:tcPr>
            <w:tcW w:w="2077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 the first 6 months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of the project, throughout project implementation</w:t>
            </w:r>
          </w:p>
        </w:tc>
      </w:tr>
      <w:tr w:rsidR="009C14BD" w:rsidRPr="009C14BD" w:rsidTr="00616E29">
        <w:trPr>
          <w:cantSplit/>
          <w:trHeight w:val="1176"/>
        </w:trPr>
        <w:tc>
          <w:tcPr>
            <w:tcW w:w="2268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Agricultural households and forest resources users in the five focal landscapes</w:t>
            </w:r>
          </w:p>
        </w:tc>
        <w:tc>
          <w:tcPr>
            <w:tcW w:w="2287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Face to face meetings,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workshops, printed information materials, site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visits</w:t>
            </w:r>
          </w:p>
        </w:tc>
        <w:tc>
          <w:tcPr>
            <w:tcW w:w="3688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Raising awareness on the project activities,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how they can be involved and how they will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benefit from the project, 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how </w:t>
            </w:r>
            <w:r w:rsidRPr="009C14BD">
              <w:rPr>
                <w:rFonts w:ascii="Times New Roman" w:eastAsia="Times New Roman" w:hAnsi="Times New Roman" w:cs="Times New Roman"/>
              </w:rPr>
              <w:t>important their involvement is, the importance of the project,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how they can participate in the project.</w:t>
            </w:r>
          </w:p>
        </w:tc>
        <w:tc>
          <w:tcPr>
            <w:tcW w:w="2168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PMU</w:t>
            </w:r>
          </w:p>
        </w:tc>
        <w:tc>
          <w:tcPr>
            <w:tcW w:w="1637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As determined</w:t>
            </w:r>
            <w:r w:rsidR="00616E29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 xml:space="preserve">in the </w:t>
            </w:r>
            <w:r w:rsidR="00616E29" w:rsidRPr="009C14BD">
              <w:rPr>
                <w:rFonts w:ascii="Times New Roman" w:eastAsia="Times New Roman" w:hAnsi="Times New Roman" w:cs="Times New Roman"/>
              </w:rPr>
              <w:t>PRODOC</w:t>
            </w:r>
          </w:p>
        </w:tc>
        <w:tc>
          <w:tcPr>
            <w:tcW w:w="2077" w:type="dxa"/>
          </w:tcPr>
          <w:p w:rsidR="00442962" w:rsidRPr="009C14BD" w:rsidRDefault="00442962" w:rsidP="009C14BD">
            <w:pPr>
              <w:rPr>
                <w:rFonts w:ascii="Times New Roman" w:eastAsia="Times New Roman" w:hAnsi="Times New Roman" w:cs="Times New Roman"/>
              </w:rPr>
            </w:pPr>
            <w:r w:rsidRPr="009C14BD">
              <w:rPr>
                <w:rFonts w:ascii="Times New Roman" w:eastAsia="Times New Roman" w:hAnsi="Times New Roman" w:cs="Times New Roman"/>
              </w:rPr>
              <w:t>In the first 6 months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of the project,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throughout project</w:t>
            </w:r>
            <w:r w:rsidR="00913CEA" w:rsidRPr="009C14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C14BD">
              <w:rPr>
                <w:rFonts w:ascii="Times New Roman" w:eastAsia="Times New Roman" w:hAnsi="Times New Roman" w:cs="Times New Roman"/>
              </w:rPr>
              <w:t>implementation</w:t>
            </w:r>
          </w:p>
        </w:tc>
      </w:tr>
    </w:tbl>
    <w:p w:rsidR="003F0F83" w:rsidRPr="003F0F83" w:rsidRDefault="003F0F83" w:rsidP="00AD06D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bookmarkStart w:id="1" w:name="page20"/>
      <w:bookmarkStart w:id="2" w:name="page21"/>
      <w:bookmarkStart w:id="3" w:name="page22"/>
      <w:bookmarkEnd w:id="1"/>
      <w:bookmarkEnd w:id="2"/>
      <w:bookmarkEnd w:id="3"/>
    </w:p>
    <w:sectPr w:rsidR="003F0F83" w:rsidRPr="003F0F83" w:rsidSect="003F0F8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24" w:rsidRDefault="00143924" w:rsidP="00B06DA1">
      <w:pPr>
        <w:spacing w:after="0" w:line="240" w:lineRule="auto"/>
      </w:pPr>
      <w:r>
        <w:separator/>
      </w:r>
    </w:p>
  </w:endnote>
  <w:endnote w:type="continuationSeparator" w:id="0">
    <w:p w:rsidR="00143924" w:rsidRDefault="00143924" w:rsidP="00B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302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DA1" w:rsidRDefault="00B06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DA1" w:rsidRDefault="00B06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24" w:rsidRDefault="00143924" w:rsidP="00B06DA1">
      <w:pPr>
        <w:spacing w:after="0" w:line="240" w:lineRule="auto"/>
      </w:pPr>
      <w:r>
        <w:separator/>
      </w:r>
    </w:p>
  </w:footnote>
  <w:footnote w:type="continuationSeparator" w:id="0">
    <w:p w:rsidR="00143924" w:rsidRDefault="00143924" w:rsidP="00B0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3"/>
    <w:rsid w:val="00125041"/>
    <w:rsid w:val="00142FEC"/>
    <w:rsid w:val="00143924"/>
    <w:rsid w:val="002D72DF"/>
    <w:rsid w:val="003E035B"/>
    <w:rsid w:val="003F0F83"/>
    <w:rsid w:val="004069F2"/>
    <w:rsid w:val="004334BF"/>
    <w:rsid w:val="00442962"/>
    <w:rsid w:val="00474C02"/>
    <w:rsid w:val="004E2324"/>
    <w:rsid w:val="00514899"/>
    <w:rsid w:val="00616E29"/>
    <w:rsid w:val="006A364B"/>
    <w:rsid w:val="007B66A6"/>
    <w:rsid w:val="00873E72"/>
    <w:rsid w:val="00900452"/>
    <w:rsid w:val="00913CEA"/>
    <w:rsid w:val="0094447A"/>
    <w:rsid w:val="00975B81"/>
    <w:rsid w:val="009C14BD"/>
    <w:rsid w:val="00A11D07"/>
    <w:rsid w:val="00AD06DB"/>
    <w:rsid w:val="00B06DA1"/>
    <w:rsid w:val="00BD7FDB"/>
    <w:rsid w:val="00D60281"/>
    <w:rsid w:val="00EB64B3"/>
    <w:rsid w:val="00F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8175-C8CD-4F3D-A172-D072903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0F83"/>
  </w:style>
  <w:style w:type="table" w:styleId="TableGrid">
    <w:name w:val="Table Grid"/>
    <w:basedOn w:val="TableNormal"/>
    <w:uiPriority w:val="39"/>
    <w:rsid w:val="003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A1"/>
  </w:style>
  <w:style w:type="paragraph" w:styleId="Footer">
    <w:name w:val="footer"/>
    <w:basedOn w:val="Normal"/>
    <w:link w:val="FooterChar"/>
    <w:uiPriority w:val="99"/>
    <w:unhideWhenUsed/>
    <w:rsid w:val="00B0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2019-10-13T12:00:00+00:00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2019-01-06T05:00:00+00:00</Document_x0020_Coverage_x0020_Period_x0020_Start_x0020_Date>
    <Document_x0020_Coverage_x0020_Period_x0020_End_x0020_Date xmlns="f1161f5b-24a3-4c2d-bc81-44cb9325e8ee">2025-12-31T05:00:00+00:00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1107</Value>
      <Value>1552</Value>
      <Value>296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00118575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NAM</TermName>
          <TermId xmlns="http://schemas.microsoft.com/office/infopath/2007/PartnerControls">c25d75bf-6998-42d7-a2ea-f5ed1b3ef599</TermId>
        </TermInfo>
      </Terms>
    </gc6531b704974d528487414686b72f6f>
    <_dlc_DocId xmlns="f1161f5b-24a3-4c2d-bc81-44cb9325e8ee">ATLASPDC-4-106286</_dlc_DocId>
    <_dlc_DocIdUrl xmlns="f1161f5b-24a3-4c2d-bc81-44cb9325e8ee">
      <Url>https://info.undp.org/docs/pdc/_layouts/DocIdRedir.aspx?ID=ATLASPDC-4-106286</Url>
      <Description>ATLASPDC-4-106286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1A2CDEC-4A03-4059-BB9A-A3FE79D9E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3B861-ECD7-48F8-BE3A-68F0705C21B2}"/>
</file>

<file path=customXml/itemProps3.xml><?xml version="1.0" encoding="utf-8"?>
<ds:datastoreItem xmlns:ds="http://schemas.openxmlformats.org/officeDocument/2006/customXml" ds:itemID="{FA02669D-AEE1-48D0-A0A6-C0F30299EB7E}"/>
</file>

<file path=customXml/itemProps4.xml><?xml version="1.0" encoding="utf-8"?>
<ds:datastoreItem xmlns:ds="http://schemas.openxmlformats.org/officeDocument/2006/customXml" ds:itemID="{350613A6-BAC2-4AC3-B419-F1625BB371E3}"/>
</file>

<file path=customXml/itemProps5.xml><?xml version="1.0" encoding="utf-8"?>
<ds:datastoreItem xmlns:ds="http://schemas.openxmlformats.org/officeDocument/2006/customXml" ds:itemID="{A332F071-0E99-4D10-A6DA-97C839DBB9A1}"/>
</file>

<file path=customXml/itemProps6.xml><?xml version="1.0" encoding="utf-8"?>
<ds:datastoreItem xmlns:ds="http://schemas.openxmlformats.org/officeDocument/2006/customXml" ds:itemID="{88BC454A-FA7F-44DF-9DEA-D94E7C525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Phemo Kgomotso</dc:creator>
  <cp:keywords/>
  <dc:description/>
  <cp:lastModifiedBy>Raili Hasheela</cp:lastModifiedBy>
  <cp:revision>2</cp:revision>
  <dcterms:created xsi:type="dcterms:W3CDTF">2019-10-12T18:41:00Z</dcterms:created>
  <dcterms:modified xsi:type="dcterms:W3CDTF">2019-10-12T18:41:00Z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1552;#NAM|c25d75bf-6998-42d7-a2ea-f5ed1b3ef599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296;#Environment and Energy|507850c5-118d-4c78-99b1-c760df552b10</vt:lpwstr>
  </property>
  <property fmtid="{D5CDD505-2E9C-101B-9397-08002B2CF9AE}" pid="13" name="_dlc_DocIdItemGuid">
    <vt:lpwstr>7711565c-5988-4f8b-80cb-774bbd815fb8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